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64" w:rsidRPr="00DD47DE" w:rsidRDefault="00A46AD0" w:rsidP="00710364">
      <w:pPr>
        <w:rPr>
          <w:rFonts w:cstheme="minorHAnsi"/>
          <w:sz w:val="24"/>
          <w:szCs w:val="24"/>
        </w:rPr>
      </w:pPr>
      <w:r>
        <w:rPr>
          <w:rFonts w:cstheme="minorHAnsi"/>
          <w:b/>
          <w:sz w:val="24"/>
          <w:szCs w:val="24"/>
        </w:rPr>
        <w:t>Quartalsreport Q4</w:t>
      </w:r>
      <w:r w:rsidR="00314F21">
        <w:rPr>
          <w:rFonts w:cstheme="minorHAnsi"/>
          <w:b/>
          <w:sz w:val="24"/>
          <w:szCs w:val="24"/>
        </w:rPr>
        <w:t xml:space="preserve"> 2020</w:t>
      </w:r>
      <w:r w:rsidR="00710364" w:rsidRPr="00DD47DE">
        <w:rPr>
          <w:rFonts w:cstheme="minorHAnsi"/>
          <w:b/>
          <w:sz w:val="24"/>
          <w:szCs w:val="24"/>
        </w:rPr>
        <w:t>:</w:t>
      </w:r>
      <w:r w:rsidR="00966023">
        <w:rPr>
          <w:rFonts w:cstheme="minorHAnsi"/>
          <w:b/>
          <w:sz w:val="24"/>
          <w:szCs w:val="24"/>
        </w:rPr>
        <w:tab/>
      </w:r>
    </w:p>
    <w:p w:rsidR="00710364" w:rsidRPr="00C33C78" w:rsidRDefault="00710364" w:rsidP="00710364">
      <w:pPr>
        <w:pStyle w:val="KeinLeerraum"/>
        <w:rPr>
          <w:rFonts w:cstheme="minorHAnsi"/>
        </w:rPr>
      </w:pPr>
    </w:p>
    <w:p w:rsidR="00710364" w:rsidRPr="00F10D90" w:rsidRDefault="00710364" w:rsidP="00710364">
      <w:pPr>
        <w:pStyle w:val="KeinLeerraum"/>
        <w:rPr>
          <w:rFonts w:cstheme="minorHAnsi"/>
        </w:rPr>
      </w:pPr>
      <w:r w:rsidRPr="00A63673">
        <w:rPr>
          <w:rFonts w:cstheme="minorHAnsi"/>
        </w:rPr>
        <w:t xml:space="preserve">MSCI / Welt:  </w:t>
      </w:r>
      <w:r w:rsidR="005E7A13">
        <w:rPr>
          <w:rFonts w:cstheme="minorHAnsi"/>
        </w:rPr>
        <w:t>+  9,20</w:t>
      </w:r>
      <w:r w:rsidR="00071879" w:rsidRPr="00A63673">
        <w:rPr>
          <w:rFonts w:cstheme="minorHAnsi"/>
        </w:rPr>
        <w:t xml:space="preserve"> %</w:t>
      </w:r>
      <w:r w:rsidRPr="00F10D90">
        <w:rPr>
          <w:rFonts w:cstheme="minorHAnsi"/>
        </w:rPr>
        <w:tab/>
      </w:r>
      <w:r w:rsidR="004C4ED3" w:rsidRPr="00F10D90">
        <w:rPr>
          <w:rFonts w:cstheme="minorHAnsi"/>
        </w:rPr>
        <w:tab/>
      </w:r>
      <w:r w:rsidR="00CE6C99" w:rsidRPr="00F10D90">
        <w:rPr>
          <w:rFonts w:cstheme="minorHAnsi"/>
        </w:rPr>
        <w:t>DAX:        +</w:t>
      </w:r>
      <w:r w:rsidR="00754928" w:rsidRPr="00F10D90">
        <w:rPr>
          <w:rFonts w:cstheme="minorHAnsi"/>
        </w:rPr>
        <w:t xml:space="preserve"> </w:t>
      </w:r>
      <w:r w:rsidR="005E7A13">
        <w:rPr>
          <w:rFonts w:cstheme="minorHAnsi"/>
        </w:rPr>
        <w:t xml:space="preserve">     7,60</w:t>
      </w:r>
      <w:r w:rsidRPr="00F10D90">
        <w:rPr>
          <w:rFonts w:cstheme="minorHAnsi"/>
        </w:rPr>
        <w:t xml:space="preserve"> %</w:t>
      </w:r>
      <w:r w:rsidRPr="00F10D90">
        <w:rPr>
          <w:rFonts w:cstheme="minorHAnsi"/>
        </w:rPr>
        <w:tab/>
      </w:r>
      <w:r w:rsidRPr="00F10D90">
        <w:rPr>
          <w:rFonts w:cstheme="minorHAnsi"/>
        </w:rPr>
        <w:tab/>
        <w:t xml:space="preserve">DJ </w:t>
      </w:r>
      <w:r w:rsidR="005E7A13">
        <w:rPr>
          <w:rFonts w:cstheme="minorHAnsi"/>
        </w:rPr>
        <w:t xml:space="preserve">Euro </w:t>
      </w:r>
      <w:proofErr w:type="spellStart"/>
      <w:r w:rsidR="005E7A13">
        <w:rPr>
          <w:rFonts w:cstheme="minorHAnsi"/>
        </w:rPr>
        <w:t>Stoxx</w:t>
      </w:r>
      <w:proofErr w:type="spellEnd"/>
      <w:r w:rsidR="005E7A13">
        <w:rPr>
          <w:rFonts w:cstheme="minorHAnsi"/>
        </w:rPr>
        <w:t xml:space="preserve"> 50:      +</w:t>
      </w:r>
      <w:r w:rsidR="00931C36" w:rsidRPr="00F10D90">
        <w:rPr>
          <w:rFonts w:cstheme="minorHAnsi"/>
        </w:rPr>
        <w:t xml:space="preserve"> </w:t>
      </w:r>
      <w:r w:rsidR="005E7A13">
        <w:rPr>
          <w:rFonts w:cstheme="minorHAnsi"/>
        </w:rPr>
        <w:t xml:space="preserve">         7,00 %</w:t>
      </w:r>
    </w:p>
    <w:p w:rsidR="00710364" w:rsidRPr="00C33C78" w:rsidRDefault="005E7A13" w:rsidP="00710364">
      <w:pPr>
        <w:pStyle w:val="KeinLeerraum"/>
        <w:rPr>
          <w:rFonts w:cstheme="minorHAnsi"/>
        </w:rPr>
      </w:pPr>
      <w:r>
        <w:rPr>
          <w:rFonts w:cstheme="minorHAnsi"/>
        </w:rPr>
        <w:t>Dow Jones:    +  5,70</w:t>
      </w:r>
      <w:r w:rsidR="00CE6C99">
        <w:rPr>
          <w:rFonts w:cstheme="minorHAnsi"/>
        </w:rPr>
        <w:t xml:space="preserve"> </w:t>
      </w:r>
      <w:r w:rsidR="00710364" w:rsidRPr="004C4ED3">
        <w:rPr>
          <w:rFonts w:cstheme="minorHAnsi"/>
        </w:rPr>
        <w:t>%</w:t>
      </w:r>
      <w:r w:rsidR="00710364" w:rsidRPr="004C4ED3">
        <w:rPr>
          <w:rFonts w:cstheme="minorHAnsi"/>
        </w:rPr>
        <w:tab/>
      </w:r>
      <w:r w:rsidR="00710364" w:rsidRPr="00C33C78">
        <w:rPr>
          <w:rFonts w:cstheme="minorHAnsi"/>
        </w:rPr>
        <w:tab/>
      </w:r>
      <w:r>
        <w:rPr>
          <w:rFonts w:cstheme="minorHAnsi"/>
        </w:rPr>
        <w:t>China:      +     6,50</w:t>
      </w:r>
      <w:r w:rsidR="00710364" w:rsidRPr="004C0F2D">
        <w:rPr>
          <w:rFonts w:cstheme="minorHAnsi"/>
        </w:rPr>
        <w:t xml:space="preserve"> %</w:t>
      </w:r>
      <w:r w:rsidR="00710364" w:rsidRPr="00C33C78">
        <w:rPr>
          <w:rFonts w:cstheme="minorHAnsi"/>
        </w:rPr>
        <w:tab/>
      </w:r>
      <w:r w:rsidR="00710364" w:rsidRPr="00C33C78">
        <w:rPr>
          <w:rFonts w:cstheme="minorHAnsi"/>
        </w:rPr>
        <w:tab/>
      </w:r>
      <w:r w:rsidR="00710364" w:rsidRPr="005E7A13">
        <w:rPr>
          <w:rFonts w:cstheme="minorHAnsi"/>
        </w:rPr>
        <w:t xml:space="preserve">Russland: </w:t>
      </w:r>
      <w:r w:rsidR="00EA1208" w:rsidRPr="005E7A13">
        <w:rPr>
          <w:rFonts w:cstheme="minorHAnsi"/>
        </w:rPr>
        <w:t xml:space="preserve"> </w:t>
      </w:r>
      <w:r w:rsidRPr="005E7A13">
        <w:rPr>
          <w:rFonts w:cstheme="minorHAnsi"/>
        </w:rPr>
        <w:t xml:space="preserve">                  +       16,90</w:t>
      </w:r>
      <w:r w:rsidR="00071879" w:rsidRPr="005E7A13">
        <w:rPr>
          <w:rFonts w:cstheme="minorHAnsi"/>
        </w:rPr>
        <w:t xml:space="preserve"> </w:t>
      </w:r>
      <w:r w:rsidR="00710364" w:rsidRPr="005E7A13">
        <w:rPr>
          <w:rFonts w:cstheme="minorHAnsi"/>
        </w:rPr>
        <w:t>%</w:t>
      </w:r>
    </w:p>
    <w:p w:rsidR="00710364" w:rsidRPr="00C33C78" w:rsidRDefault="005E7A13" w:rsidP="00710364">
      <w:pPr>
        <w:pStyle w:val="KeinLeerraum"/>
        <w:rPr>
          <w:rFonts w:cstheme="minorHAnsi"/>
        </w:rPr>
      </w:pPr>
      <w:r>
        <w:rPr>
          <w:rFonts w:cstheme="minorHAnsi"/>
        </w:rPr>
        <w:t xml:space="preserve">Nikkei:           + 15,30 </w:t>
      </w:r>
      <w:r w:rsidR="00710364" w:rsidRPr="00853475">
        <w:rPr>
          <w:rFonts w:cstheme="minorHAnsi"/>
        </w:rPr>
        <w:t>%</w:t>
      </w:r>
      <w:r w:rsidR="00853475">
        <w:rPr>
          <w:rFonts w:cstheme="minorHAnsi"/>
        </w:rPr>
        <w:tab/>
      </w:r>
      <w:r w:rsidR="00D91D44">
        <w:rPr>
          <w:rFonts w:cstheme="minorHAnsi"/>
        </w:rPr>
        <w:t xml:space="preserve">  </w:t>
      </w:r>
      <w:r w:rsidR="00D91D44">
        <w:rPr>
          <w:rFonts w:cstheme="minorHAnsi"/>
        </w:rPr>
        <w:tab/>
      </w:r>
      <w:r w:rsidR="00710364" w:rsidRPr="009E7224">
        <w:rPr>
          <w:rFonts w:cstheme="minorHAnsi"/>
        </w:rPr>
        <w:t xml:space="preserve">Indien: </w:t>
      </w:r>
      <w:r>
        <w:rPr>
          <w:rFonts w:cstheme="minorHAnsi"/>
        </w:rPr>
        <w:t xml:space="preserve">   +    16,10</w:t>
      </w:r>
      <w:r w:rsidR="00710364" w:rsidRPr="009E7224">
        <w:rPr>
          <w:rFonts w:cstheme="minorHAnsi"/>
        </w:rPr>
        <w:t xml:space="preserve"> %</w:t>
      </w:r>
      <w:r w:rsidR="00710364" w:rsidRPr="009E7224">
        <w:rPr>
          <w:rFonts w:cstheme="minorHAnsi"/>
        </w:rPr>
        <w:tab/>
      </w:r>
      <w:r w:rsidR="00710364" w:rsidRPr="00C33C78">
        <w:rPr>
          <w:rFonts w:cstheme="minorHAnsi"/>
        </w:rPr>
        <w:tab/>
      </w:r>
      <w:r>
        <w:rPr>
          <w:rFonts w:cstheme="minorHAnsi"/>
          <w:color w:val="548DD4" w:themeColor="text2" w:themeTint="99"/>
        </w:rPr>
        <w:t>Wald:</w:t>
      </w:r>
      <w:r>
        <w:rPr>
          <w:rFonts w:cstheme="minorHAnsi"/>
          <w:color w:val="548DD4" w:themeColor="text2" w:themeTint="99"/>
        </w:rPr>
        <w:tab/>
      </w:r>
      <w:r>
        <w:rPr>
          <w:rFonts w:cstheme="minorHAnsi"/>
          <w:color w:val="548DD4" w:themeColor="text2" w:themeTint="99"/>
        </w:rPr>
        <w:tab/>
        <w:t xml:space="preserve">         +       20,30</w:t>
      </w:r>
      <w:r w:rsidR="00071879" w:rsidRPr="00457F74">
        <w:rPr>
          <w:rFonts w:cstheme="minorHAnsi"/>
          <w:color w:val="548DD4" w:themeColor="text2" w:themeTint="99"/>
        </w:rPr>
        <w:t xml:space="preserve"> </w:t>
      </w:r>
      <w:r w:rsidR="00710364" w:rsidRPr="00457F74">
        <w:rPr>
          <w:rFonts w:cstheme="minorHAnsi"/>
          <w:color w:val="548DD4" w:themeColor="text2" w:themeTint="99"/>
        </w:rPr>
        <w:t>%</w:t>
      </w:r>
    </w:p>
    <w:p w:rsidR="00710364" w:rsidRPr="00C33C78" w:rsidRDefault="00931C36" w:rsidP="00710364">
      <w:pPr>
        <w:pStyle w:val="KeinLeerraum"/>
        <w:rPr>
          <w:rFonts w:cstheme="minorHAnsi"/>
        </w:rPr>
      </w:pPr>
      <w:r w:rsidRPr="005E7A13">
        <w:rPr>
          <w:rFonts w:cstheme="minorHAnsi"/>
          <w:color w:val="548DD4" w:themeColor="text2" w:themeTint="99"/>
        </w:rPr>
        <w:t>Rohöl</w:t>
      </w:r>
      <w:r w:rsidR="00754928" w:rsidRPr="005E7A13">
        <w:rPr>
          <w:rFonts w:cstheme="minorHAnsi"/>
          <w:color w:val="548DD4" w:themeColor="text2" w:themeTint="99"/>
        </w:rPr>
        <w:t xml:space="preserve">:  </w:t>
      </w:r>
      <w:r w:rsidR="005E7A13" w:rsidRPr="005E7A13">
        <w:rPr>
          <w:rFonts w:cstheme="minorHAnsi"/>
          <w:color w:val="548DD4" w:themeColor="text2" w:themeTint="99"/>
        </w:rPr>
        <w:t xml:space="preserve">          + 20,70</w:t>
      </w:r>
      <w:r w:rsidR="00710364" w:rsidRPr="005E7A13">
        <w:rPr>
          <w:rFonts w:cstheme="minorHAnsi"/>
          <w:color w:val="548DD4" w:themeColor="text2" w:themeTint="99"/>
        </w:rPr>
        <w:t xml:space="preserve"> %</w:t>
      </w:r>
      <w:r w:rsidR="00710364" w:rsidRPr="00704412">
        <w:rPr>
          <w:rFonts w:cstheme="minorHAnsi"/>
          <w:color w:val="548DD4" w:themeColor="text2" w:themeTint="99"/>
        </w:rPr>
        <w:t xml:space="preserve"> </w:t>
      </w:r>
      <w:r w:rsidR="00710364" w:rsidRPr="00C33C78">
        <w:rPr>
          <w:rFonts w:cstheme="minorHAnsi"/>
        </w:rPr>
        <w:t xml:space="preserve">            </w:t>
      </w:r>
      <w:r>
        <w:rPr>
          <w:rFonts w:cstheme="minorHAnsi"/>
        </w:rPr>
        <w:t xml:space="preserve"> </w:t>
      </w:r>
      <w:r w:rsidR="00457F74">
        <w:rPr>
          <w:rFonts w:cstheme="minorHAnsi"/>
        </w:rPr>
        <w:t xml:space="preserve"> </w:t>
      </w:r>
      <w:r w:rsidR="00C33C78" w:rsidRPr="00C33C78">
        <w:rPr>
          <w:rFonts w:cstheme="minorHAnsi"/>
        </w:rPr>
        <w:t xml:space="preserve"> </w:t>
      </w:r>
      <w:r w:rsidR="005E7A13" w:rsidRPr="005E7A13">
        <w:rPr>
          <w:rFonts w:cstheme="minorHAnsi"/>
          <w:color w:val="FF0000"/>
        </w:rPr>
        <w:t>Gold:       -       4,80</w:t>
      </w:r>
      <w:r w:rsidR="00010493" w:rsidRPr="005E7A13">
        <w:rPr>
          <w:rFonts w:cstheme="minorHAnsi"/>
          <w:color w:val="FF0000"/>
        </w:rPr>
        <w:t xml:space="preserve"> </w:t>
      </w:r>
      <w:r w:rsidR="00710364" w:rsidRPr="005E7A13">
        <w:rPr>
          <w:rFonts w:cstheme="minorHAnsi"/>
          <w:color w:val="FF0000"/>
        </w:rPr>
        <w:t>%</w:t>
      </w:r>
      <w:r w:rsidR="00710364" w:rsidRPr="00C33C78">
        <w:rPr>
          <w:rFonts w:cstheme="minorHAnsi"/>
          <w:color w:val="00B050"/>
        </w:rPr>
        <w:t xml:space="preserve"> </w:t>
      </w:r>
      <w:r w:rsidR="00710364" w:rsidRPr="00C33C78">
        <w:rPr>
          <w:rFonts w:cstheme="minorHAnsi"/>
        </w:rPr>
        <w:t xml:space="preserve">      </w:t>
      </w:r>
      <w:r w:rsidR="00710364" w:rsidRPr="00C33C78">
        <w:rPr>
          <w:rFonts w:cstheme="minorHAnsi"/>
        </w:rPr>
        <w:tab/>
      </w:r>
      <w:r w:rsidR="00710364" w:rsidRPr="00F10D90">
        <w:rPr>
          <w:rFonts w:cstheme="minorHAnsi"/>
        </w:rPr>
        <w:t>Kupfer:</w:t>
      </w:r>
      <w:r w:rsidR="00710364" w:rsidRPr="00F10D90">
        <w:rPr>
          <w:rFonts w:cstheme="minorHAnsi"/>
        </w:rPr>
        <w:tab/>
      </w:r>
      <w:r w:rsidR="00EA1208" w:rsidRPr="00F10D90">
        <w:rPr>
          <w:rFonts w:cstheme="minorHAnsi"/>
        </w:rPr>
        <w:t xml:space="preserve"> </w:t>
      </w:r>
      <w:r w:rsidR="005E7A13">
        <w:rPr>
          <w:rFonts w:cstheme="minorHAnsi"/>
        </w:rPr>
        <w:t xml:space="preserve">        </w:t>
      </w:r>
      <w:r w:rsidR="005E7A13">
        <w:rPr>
          <w:rFonts w:cstheme="minorHAnsi"/>
        </w:rPr>
        <w:tab/>
        <w:t xml:space="preserve">         +       12,50</w:t>
      </w:r>
      <w:r w:rsidR="00710364" w:rsidRPr="00F10D90">
        <w:rPr>
          <w:rFonts w:cstheme="minorHAnsi"/>
        </w:rPr>
        <w:t xml:space="preserve"> %</w:t>
      </w:r>
    </w:p>
    <w:p w:rsidR="00710364" w:rsidRPr="00C33C78" w:rsidRDefault="00710364" w:rsidP="00710364">
      <w:pPr>
        <w:pStyle w:val="KeinLeerraum"/>
        <w:rPr>
          <w:rFonts w:cstheme="minorHAnsi"/>
        </w:rPr>
      </w:pPr>
      <w:r w:rsidRPr="00C33C78">
        <w:rPr>
          <w:rFonts w:cstheme="minorHAnsi"/>
        </w:rPr>
        <w:t xml:space="preserve">           (</w:t>
      </w:r>
      <w:r w:rsidRPr="00C33C78">
        <w:rPr>
          <w:rFonts w:cstheme="minorHAnsi"/>
          <w:color w:val="00B050"/>
        </w:rPr>
        <w:t>alle Angaben jeweils in Euro</w:t>
      </w:r>
      <w:r w:rsidRPr="00C33C78">
        <w:rPr>
          <w:rFonts w:cstheme="minorHAnsi"/>
        </w:rPr>
        <w:t>)</w:t>
      </w:r>
      <w:r w:rsidRPr="00C33C78">
        <w:rPr>
          <w:rFonts w:cstheme="minorHAnsi"/>
        </w:rPr>
        <w:tab/>
      </w:r>
      <w:r w:rsidRPr="00C33C78">
        <w:rPr>
          <w:rFonts w:cstheme="minorHAnsi"/>
        </w:rPr>
        <w:tab/>
      </w:r>
      <w:r w:rsidRPr="00C33C78">
        <w:rPr>
          <w:rFonts w:cstheme="minorHAnsi"/>
        </w:rPr>
        <w:tab/>
      </w:r>
      <w:r w:rsidRPr="00C33C78">
        <w:rPr>
          <w:rFonts w:cstheme="minorHAnsi"/>
        </w:rPr>
        <w:tab/>
      </w:r>
      <w:r w:rsidRPr="00457F74">
        <w:rPr>
          <w:rFonts w:cstheme="minorHAnsi"/>
        </w:rPr>
        <w:t>Euro/USD:</w:t>
      </w:r>
      <w:r w:rsidRPr="00457F74">
        <w:rPr>
          <w:rFonts w:cstheme="minorHAnsi"/>
        </w:rPr>
        <w:tab/>
      </w:r>
      <w:r w:rsidR="00623F26" w:rsidRPr="00457F74">
        <w:rPr>
          <w:rFonts w:cstheme="minorHAnsi"/>
        </w:rPr>
        <w:t xml:space="preserve">         +        </w:t>
      </w:r>
      <w:r w:rsidR="005E7A13">
        <w:rPr>
          <w:rFonts w:cstheme="minorHAnsi"/>
        </w:rPr>
        <w:t xml:space="preserve"> 4,20</w:t>
      </w:r>
      <w:r w:rsidR="004C4ED3" w:rsidRPr="00457F74">
        <w:rPr>
          <w:rFonts w:cstheme="minorHAnsi"/>
        </w:rPr>
        <w:t xml:space="preserve"> </w:t>
      </w:r>
      <w:r w:rsidRPr="00457F74">
        <w:rPr>
          <w:rFonts w:cstheme="minorHAnsi"/>
        </w:rPr>
        <w:t>%</w:t>
      </w:r>
    </w:p>
    <w:p w:rsidR="00710364" w:rsidRPr="00254E3E" w:rsidRDefault="00710364" w:rsidP="002320CB">
      <w:pPr>
        <w:pStyle w:val="KeinLeerraum"/>
        <w:rPr>
          <w:rFonts w:cstheme="minorHAnsi"/>
        </w:rPr>
      </w:pPr>
    </w:p>
    <w:p w:rsidR="00833933" w:rsidRPr="00CB31BA" w:rsidRDefault="00833933" w:rsidP="00254E3E">
      <w:pPr>
        <w:pStyle w:val="KeinLeerraum"/>
        <w:jc w:val="both"/>
        <w:rPr>
          <w:rFonts w:ascii="Arial" w:hAnsi="Arial" w:cs="Arial"/>
          <w:sz w:val="23"/>
          <w:szCs w:val="23"/>
        </w:rPr>
      </w:pPr>
      <w:r w:rsidRPr="00CB31BA">
        <w:rPr>
          <w:rFonts w:cstheme="minorHAnsi"/>
          <w:b/>
          <w:sz w:val="24"/>
          <w:szCs w:val="24"/>
          <w:u w:val="single"/>
        </w:rPr>
        <w:t>Können Feuerwerke böse Geister vertreiben?</w:t>
      </w:r>
      <w:r w:rsidRPr="00CB31BA">
        <w:rPr>
          <w:rFonts w:ascii="Arial" w:hAnsi="Arial" w:cs="Arial"/>
          <w:sz w:val="23"/>
          <w:szCs w:val="23"/>
        </w:rPr>
        <w:t xml:space="preserve"> </w:t>
      </w:r>
    </w:p>
    <w:p w:rsidR="00833933" w:rsidRPr="00E92164" w:rsidRDefault="00833933" w:rsidP="00254E3E">
      <w:pPr>
        <w:pStyle w:val="KeinLeerraum"/>
        <w:jc w:val="both"/>
        <w:rPr>
          <w:rFonts w:ascii="Arial" w:hAnsi="Arial" w:cs="Arial"/>
          <w:sz w:val="23"/>
          <w:szCs w:val="23"/>
        </w:rPr>
      </w:pPr>
    </w:p>
    <w:p w:rsidR="00833933" w:rsidRPr="00E92164" w:rsidRDefault="00833933" w:rsidP="002B50EA">
      <w:pPr>
        <w:pStyle w:val="KeinLeerraum"/>
        <w:jc w:val="both"/>
        <w:rPr>
          <w:rFonts w:cstheme="minorHAnsi"/>
          <w:sz w:val="24"/>
          <w:szCs w:val="24"/>
        </w:rPr>
      </w:pPr>
      <w:r w:rsidRPr="00E92164">
        <w:rPr>
          <w:rFonts w:cstheme="minorHAnsi"/>
          <w:sz w:val="24"/>
          <w:szCs w:val="24"/>
        </w:rPr>
        <w:t xml:space="preserve">Was denken Sie? Zum Glück bin ich nicht abergläubisch. Ob nun krachend laut oder zwangsweise besinnlich, die Börsen haben das letzte Quartal weltweit jedenfalls schon mal kräftig gefeiert. Der Haken an der Sache: Schluss wird das Virus auch in diesem Jahr kaum machen. </w:t>
      </w:r>
    </w:p>
    <w:p w:rsidR="00833933" w:rsidRPr="00E92164" w:rsidRDefault="00833933" w:rsidP="002B50EA">
      <w:pPr>
        <w:pStyle w:val="KeinLeerraum"/>
        <w:jc w:val="both"/>
        <w:rPr>
          <w:rFonts w:cstheme="minorHAnsi"/>
          <w:sz w:val="24"/>
          <w:szCs w:val="24"/>
        </w:rPr>
      </w:pPr>
    </w:p>
    <w:p w:rsidR="00833933" w:rsidRPr="00E92164" w:rsidRDefault="00833933" w:rsidP="002B50EA">
      <w:pPr>
        <w:pStyle w:val="KeinLeerraum"/>
        <w:jc w:val="both"/>
        <w:rPr>
          <w:rFonts w:cstheme="minorHAnsi"/>
          <w:sz w:val="24"/>
          <w:szCs w:val="24"/>
        </w:rPr>
      </w:pPr>
      <w:r w:rsidRPr="00E92164">
        <w:rPr>
          <w:rFonts w:cstheme="minorHAnsi"/>
          <w:sz w:val="24"/>
          <w:szCs w:val="24"/>
        </w:rPr>
        <w:t>Es wird vermutlich noch ein längerer Weg bis zur Rückkehr weitgehender Normalität sein. Relativ gesichert ist, dass viele technische Notwendigkeiten – Stichwort „</w:t>
      </w:r>
      <w:r w:rsidRPr="008D1903">
        <w:rPr>
          <w:rFonts w:cstheme="minorHAnsi"/>
          <w:color w:val="0070C0"/>
          <w:sz w:val="24"/>
          <w:szCs w:val="24"/>
        </w:rPr>
        <w:t>Zwangsdigitalisierung</w:t>
      </w:r>
      <w:r w:rsidRPr="00E92164">
        <w:rPr>
          <w:rFonts w:cstheme="minorHAnsi"/>
          <w:sz w:val="24"/>
          <w:szCs w:val="24"/>
        </w:rPr>
        <w:t>“ – sich mit schneller Geschwindigkeit fortsetzen werden. Gleichzeit</w:t>
      </w:r>
      <w:r w:rsidR="008D1903">
        <w:rPr>
          <w:rFonts w:cstheme="minorHAnsi"/>
          <w:sz w:val="24"/>
          <w:szCs w:val="24"/>
        </w:rPr>
        <w:t>ig</w:t>
      </w:r>
      <w:r w:rsidRPr="00E92164">
        <w:rPr>
          <w:rFonts w:cstheme="minorHAnsi"/>
          <w:sz w:val="24"/>
          <w:szCs w:val="24"/>
        </w:rPr>
        <w:t xml:space="preserve"> </w:t>
      </w:r>
      <w:r w:rsidR="009B3328" w:rsidRPr="00E92164">
        <w:rPr>
          <w:rFonts w:cstheme="minorHAnsi"/>
          <w:sz w:val="24"/>
          <w:szCs w:val="24"/>
        </w:rPr>
        <w:t>wird im Jahr 2021 das Thema „</w:t>
      </w:r>
      <w:r w:rsidR="009B3328" w:rsidRPr="008D1903">
        <w:rPr>
          <w:rFonts w:cstheme="minorHAnsi"/>
          <w:color w:val="00B050"/>
          <w:sz w:val="24"/>
          <w:szCs w:val="24"/>
        </w:rPr>
        <w:t>Nachhaltigkeit und Klimaschutz</w:t>
      </w:r>
      <w:r w:rsidR="009B3328" w:rsidRPr="00E92164">
        <w:rPr>
          <w:rFonts w:cstheme="minorHAnsi"/>
          <w:sz w:val="24"/>
          <w:szCs w:val="24"/>
        </w:rPr>
        <w:t>“ auf die Weltbühne zurückkehren.</w:t>
      </w:r>
    </w:p>
    <w:p w:rsidR="00833933" w:rsidRPr="00E92164" w:rsidRDefault="00833933" w:rsidP="00E92164">
      <w:pPr>
        <w:pStyle w:val="KeinLeerraum"/>
      </w:pPr>
    </w:p>
    <w:p w:rsidR="00E92164" w:rsidRPr="00E92164" w:rsidRDefault="008D1903" w:rsidP="00E92164">
      <w:pPr>
        <w:pStyle w:val="KeinLeerraum"/>
        <w:rPr>
          <w:rStyle w:val="CopyRoboto10pt-grau"/>
          <w:rFonts w:asciiTheme="minorHAnsi" w:hAnsiTheme="minorHAnsi" w:cstheme="minorHAnsi"/>
          <w:color w:val="auto"/>
          <w:sz w:val="24"/>
          <w:szCs w:val="24"/>
          <w:u w:val="single"/>
        </w:rPr>
      </w:pPr>
      <w:r>
        <w:rPr>
          <w:rStyle w:val="CopyRoboto10pt-grau"/>
          <w:rFonts w:asciiTheme="minorHAnsi" w:hAnsiTheme="minorHAnsi" w:cstheme="minorHAnsi"/>
          <w:b/>
          <w:bCs/>
          <w:color w:val="auto"/>
          <w:sz w:val="24"/>
          <w:szCs w:val="24"/>
          <w:u w:val="single"/>
        </w:rPr>
        <w:t xml:space="preserve">Corona: Zwischen der </w:t>
      </w:r>
      <w:r w:rsidR="00E92164" w:rsidRPr="00E92164">
        <w:rPr>
          <w:rStyle w:val="CopyRoboto10pt-grau"/>
          <w:rFonts w:asciiTheme="minorHAnsi" w:hAnsiTheme="minorHAnsi" w:cstheme="minorHAnsi"/>
          <w:b/>
          <w:bCs/>
          <w:color w:val="auto"/>
          <w:sz w:val="24"/>
          <w:szCs w:val="24"/>
          <w:u w:val="single"/>
        </w:rPr>
        <w:t>zweiter Welle und Hoffnung auf Impfstoffe</w:t>
      </w:r>
    </w:p>
    <w:p w:rsidR="00E92164" w:rsidRPr="00E92164" w:rsidRDefault="00E92164" w:rsidP="00E92164">
      <w:pPr>
        <w:pStyle w:val="KeinLeerraum"/>
        <w:rPr>
          <w:rStyle w:val="CopyRoboto10pt-grau"/>
          <w:rFonts w:asciiTheme="minorHAnsi" w:hAnsiTheme="minorHAnsi" w:cstheme="minorHAnsi"/>
          <w:color w:val="auto"/>
          <w:sz w:val="24"/>
          <w:szCs w:val="24"/>
        </w:rPr>
      </w:pPr>
    </w:p>
    <w:p w:rsidR="00E92164" w:rsidRPr="00E92164" w:rsidRDefault="00E92164" w:rsidP="002B50EA">
      <w:pPr>
        <w:pStyle w:val="KeinLeerraum"/>
        <w:jc w:val="both"/>
        <w:rPr>
          <w:rStyle w:val="CopyRoboto10pt-grau"/>
          <w:rFonts w:asciiTheme="minorHAnsi" w:hAnsiTheme="minorHAnsi" w:cstheme="minorHAnsi"/>
          <w:color w:val="auto"/>
          <w:sz w:val="24"/>
          <w:szCs w:val="24"/>
        </w:rPr>
      </w:pPr>
      <w:r w:rsidRPr="00E92164">
        <w:rPr>
          <w:rStyle w:val="CopyRoboto10pt-grau"/>
          <w:rFonts w:asciiTheme="minorHAnsi" w:hAnsiTheme="minorHAnsi" w:cstheme="minorHAnsi"/>
          <w:color w:val="auto"/>
          <w:sz w:val="24"/>
          <w:szCs w:val="24"/>
        </w:rPr>
        <w:t>Die vielleicht wichtigste Nachricht kam im vergangenen Quartal nicht aus Washington, sondern aus Mainz. Mit der Bekanntgabe der Fortschritte bei der Impfstoff-Entwicklung löste das</w:t>
      </w:r>
      <w:r w:rsidR="008D1903">
        <w:rPr>
          <w:rStyle w:val="CopyRoboto10pt-grau"/>
          <w:rFonts w:asciiTheme="minorHAnsi" w:hAnsiTheme="minorHAnsi" w:cstheme="minorHAnsi"/>
          <w:color w:val="auto"/>
          <w:sz w:val="24"/>
          <w:szCs w:val="24"/>
        </w:rPr>
        <w:t xml:space="preserve"> dort ansässige Unternehmen </w:t>
      </w:r>
      <w:proofErr w:type="spellStart"/>
      <w:r w:rsidR="008D1903">
        <w:rPr>
          <w:rStyle w:val="CopyRoboto10pt-grau"/>
          <w:rFonts w:asciiTheme="minorHAnsi" w:hAnsiTheme="minorHAnsi" w:cstheme="minorHAnsi"/>
          <w:color w:val="auto"/>
          <w:sz w:val="24"/>
          <w:szCs w:val="24"/>
        </w:rPr>
        <w:t>BioNT</w:t>
      </w:r>
      <w:r w:rsidRPr="00E92164">
        <w:rPr>
          <w:rStyle w:val="CopyRoboto10pt-grau"/>
          <w:rFonts w:asciiTheme="minorHAnsi" w:hAnsiTheme="minorHAnsi" w:cstheme="minorHAnsi"/>
          <w:color w:val="auto"/>
          <w:sz w:val="24"/>
          <w:szCs w:val="24"/>
        </w:rPr>
        <w:t>ech</w:t>
      </w:r>
      <w:proofErr w:type="spellEnd"/>
      <w:r w:rsidRPr="00E92164">
        <w:rPr>
          <w:rStyle w:val="CopyRoboto10pt-grau"/>
          <w:rFonts w:asciiTheme="minorHAnsi" w:hAnsiTheme="minorHAnsi" w:cstheme="minorHAnsi"/>
          <w:color w:val="auto"/>
          <w:sz w:val="24"/>
          <w:szCs w:val="24"/>
        </w:rPr>
        <w:t xml:space="preserve"> eine Kurserholung an den globalen Aktienmärkten aus und machte das Krisenende erstmals greifbar. </w:t>
      </w:r>
    </w:p>
    <w:p w:rsidR="00E92164" w:rsidRPr="00E92164" w:rsidRDefault="00E92164" w:rsidP="002B50EA">
      <w:pPr>
        <w:pStyle w:val="KeinLeerraum"/>
        <w:jc w:val="both"/>
        <w:rPr>
          <w:rStyle w:val="CopyRoboto10pt-grau"/>
          <w:rFonts w:asciiTheme="minorHAnsi" w:hAnsiTheme="minorHAnsi" w:cstheme="minorHAnsi"/>
          <w:color w:val="auto"/>
          <w:sz w:val="24"/>
          <w:szCs w:val="24"/>
        </w:rPr>
      </w:pPr>
    </w:p>
    <w:p w:rsidR="00E92164" w:rsidRPr="00E92164" w:rsidRDefault="00E92164" w:rsidP="002B50EA">
      <w:pPr>
        <w:pStyle w:val="KeinLeerraum"/>
        <w:jc w:val="both"/>
        <w:rPr>
          <w:rStyle w:val="CopyRoboto10pt-grau"/>
          <w:rFonts w:asciiTheme="minorHAnsi" w:hAnsiTheme="minorHAnsi" w:cstheme="minorHAnsi"/>
          <w:color w:val="auto"/>
          <w:sz w:val="24"/>
          <w:szCs w:val="24"/>
        </w:rPr>
      </w:pPr>
      <w:r w:rsidRPr="00E92164">
        <w:rPr>
          <w:rStyle w:val="CopyRoboto10pt-grau"/>
          <w:rFonts w:asciiTheme="minorHAnsi" w:hAnsiTheme="minorHAnsi" w:cstheme="minorHAnsi"/>
          <w:color w:val="auto"/>
          <w:sz w:val="24"/>
          <w:szCs w:val="24"/>
        </w:rPr>
        <w:t xml:space="preserve">Die positiven Nachrichten fielen in eine kritische Phase, in der die zweite Corona-Welle Europa und die USA mit voller Wucht getroffen hatte. Gegenmaßnahmen wie strikte Lockdowns, die Wirtschaft und das öffentliche Leben ausbremsten, konnten aber auch die verschiedenen Impfstoff-Hoffnungen nicht verhindern. </w:t>
      </w:r>
    </w:p>
    <w:p w:rsidR="009B3328" w:rsidRPr="008D6E11" w:rsidRDefault="009B3328" w:rsidP="008D6E11">
      <w:pPr>
        <w:pStyle w:val="KeinLeerraum"/>
        <w:rPr>
          <w:sz w:val="24"/>
          <w:szCs w:val="24"/>
        </w:rPr>
      </w:pPr>
    </w:p>
    <w:p w:rsidR="008D6E11" w:rsidRPr="008D6E11" w:rsidRDefault="008D6E11" w:rsidP="008D6E11">
      <w:pPr>
        <w:pStyle w:val="KeinLeerraum"/>
        <w:rPr>
          <w:rFonts w:eastAsiaTheme="minorEastAsia"/>
          <w:b/>
          <w:bCs/>
          <w:sz w:val="24"/>
          <w:szCs w:val="24"/>
          <w:u w:val="single"/>
          <w:lang w:eastAsia="zh-CN"/>
        </w:rPr>
      </w:pPr>
      <w:r w:rsidRPr="008D6E11">
        <w:rPr>
          <w:rFonts w:eastAsiaTheme="minorEastAsia"/>
          <w:b/>
          <w:bCs/>
          <w:sz w:val="24"/>
          <w:szCs w:val="24"/>
          <w:u w:val="single"/>
          <w:lang w:eastAsia="zh-CN"/>
        </w:rPr>
        <w:t>Notenbanken und Regierungen stemmen sich weiter gegen die Krise</w:t>
      </w:r>
    </w:p>
    <w:p w:rsidR="008D6E11" w:rsidRPr="008D6E11" w:rsidRDefault="008D6E11" w:rsidP="008D6E11">
      <w:pPr>
        <w:pStyle w:val="KeinLeerraum"/>
        <w:rPr>
          <w:rFonts w:eastAsiaTheme="minorEastAsia"/>
          <w:b/>
          <w:bCs/>
          <w:sz w:val="24"/>
          <w:szCs w:val="24"/>
          <w:lang w:eastAsia="zh-CN"/>
        </w:rPr>
      </w:pPr>
    </w:p>
    <w:p w:rsidR="008D6E11" w:rsidRDefault="008D6E11" w:rsidP="002B50EA">
      <w:pPr>
        <w:pStyle w:val="KeinLeerraum"/>
        <w:jc w:val="both"/>
        <w:rPr>
          <w:rFonts w:eastAsiaTheme="minorEastAsia"/>
          <w:sz w:val="24"/>
          <w:szCs w:val="24"/>
          <w:lang w:eastAsia="zh-CN"/>
        </w:rPr>
      </w:pPr>
      <w:r w:rsidRPr="008D6E11">
        <w:rPr>
          <w:rFonts w:eastAsiaTheme="minorEastAsia"/>
          <w:sz w:val="24"/>
          <w:szCs w:val="24"/>
          <w:lang w:eastAsia="zh-CN"/>
        </w:rPr>
        <w:t xml:space="preserve">Wichtiger Faktor für die gute Stimmung der Marktteilnehmer ist auch die schnelle und konsequente Reaktion von Politik und Zentralbanken. Niedrigzinsen, Rettungspakete, Konjunkturprogramme, Steuersenkungen und Maßnahmen wie die Kurzarbeit verhinderten verheerende Arbeitslosenzahlen und Firmenpleiten. Die Institutionen scheinen also aus der Finanzkrise gelernt zu haben und hatten die richtigen Maßnahmen in der Schublade. </w:t>
      </w:r>
    </w:p>
    <w:p w:rsidR="008D6E11" w:rsidRDefault="008D6E11" w:rsidP="002B50EA">
      <w:pPr>
        <w:pStyle w:val="KeinLeerraum"/>
        <w:jc w:val="both"/>
        <w:rPr>
          <w:rFonts w:eastAsiaTheme="minorEastAsia"/>
          <w:sz w:val="24"/>
          <w:szCs w:val="24"/>
          <w:lang w:eastAsia="zh-CN"/>
        </w:rPr>
      </w:pPr>
    </w:p>
    <w:p w:rsidR="00E92164" w:rsidRPr="008D6E11" w:rsidRDefault="008D6E11" w:rsidP="002B50EA">
      <w:pPr>
        <w:pStyle w:val="KeinLeerraum"/>
        <w:jc w:val="both"/>
        <w:rPr>
          <w:sz w:val="24"/>
          <w:szCs w:val="24"/>
        </w:rPr>
      </w:pPr>
      <w:r w:rsidRPr="008D6E11">
        <w:rPr>
          <w:rFonts w:eastAsiaTheme="minorEastAsia"/>
          <w:sz w:val="24"/>
          <w:szCs w:val="24"/>
          <w:lang w:eastAsia="zh-CN"/>
        </w:rPr>
        <w:t>Die Stützungsmaßnahmen sorgen aber gleichzeitig für eine global steigende Staatsverschuldung, die auch die Niedrigzinspolitik auf unabsehbare Zeit zementiert.</w:t>
      </w:r>
    </w:p>
    <w:p w:rsidR="001D1357" w:rsidRDefault="001D1357" w:rsidP="004E2E0D">
      <w:pPr>
        <w:pStyle w:val="KeinLeerraum"/>
        <w:rPr>
          <w:rFonts w:cstheme="minorHAnsi"/>
          <w:color w:val="444444"/>
          <w:sz w:val="24"/>
          <w:szCs w:val="24"/>
        </w:rPr>
      </w:pPr>
    </w:p>
    <w:p w:rsidR="004E2E0D" w:rsidRPr="004E2E0D" w:rsidRDefault="004E2E0D" w:rsidP="004E2E0D">
      <w:pPr>
        <w:pStyle w:val="KeinLeerraum"/>
        <w:rPr>
          <w:rFonts w:eastAsiaTheme="minorEastAsia" w:cstheme="minorHAnsi"/>
          <w:sz w:val="24"/>
          <w:szCs w:val="24"/>
          <w:u w:val="single"/>
          <w:lang w:eastAsia="zh-CN"/>
        </w:rPr>
      </w:pPr>
      <w:r w:rsidRPr="004E2E0D">
        <w:rPr>
          <w:rFonts w:eastAsiaTheme="minorEastAsia" w:cstheme="minorHAnsi"/>
          <w:b/>
          <w:bCs/>
          <w:sz w:val="24"/>
          <w:szCs w:val="24"/>
          <w:u w:val="single"/>
          <w:lang w:eastAsia="zh-CN"/>
        </w:rPr>
        <w:t>China als Retter der Weltkonjunktur</w:t>
      </w:r>
    </w:p>
    <w:p w:rsidR="004E2E0D" w:rsidRDefault="004E2E0D" w:rsidP="004E2E0D">
      <w:pPr>
        <w:pStyle w:val="KeinLeerraum"/>
        <w:rPr>
          <w:rFonts w:eastAsiaTheme="minorEastAsia" w:cstheme="minorHAnsi"/>
          <w:sz w:val="24"/>
          <w:szCs w:val="24"/>
          <w:lang w:eastAsia="zh-CN"/>
        </w:rPr>
      </w:pPr>
    </w:p>
    <w:p w:rsidR="004E2E0D" w:rsidRPr="004E2E0D" w:rsidRDefault="004E2E0D" w:rsidP="002B50EA">
      <w:pPr>
        <w:pStyle w:val="KeinLeerraum"/>
        <w:jc w:val="both"/>
        <w:rPr>
          <w:rFonts w:eastAsiaTheme="minorEastAsia" w:cstheme="minorHAnsi"/>
          <w:sz w:val="24"/>
          <w:szCs w:val="24"/>
          <w:lang w:eastAsia="zh-CN"/>
        </w:rPr>
      </w:pPr>
      <w:r w:rsidRPr="004E2E0D">
        <w:rPr>
          <w:rFonts w:eastAsiaTheme="minorEastAsia" w:cstheme="minorHAnsi"/>
          <w:sz w:val="24"/>
          <w:szCs w:val="24"/>
          <w:lang w:eastAsia="zh-CN"/>
        </w:rPr>
        <w:t xml:space="preserve">Ein überraschender Stabilitätsanker im Aktienbereich war 2020 Asien – allen voran China. Nicht zuletzt wegen des Umgangs mit der Corona-Pandemie sowie den überraschend schnell </w:t>
      </w:r>
      <w:r w:rsidRPr="004E2E0D">
        <w:rPr>
          <w:rFonts w:eastAsiaTheme="minorEastAsia" w:cstheme="minorHAnsi"/>
          <w:sz w:val="24"/>
          <w:szCs w:val="24"/>
          <w:lang w:eastAsia="zh-CN"/>
        </w:rPr>
        <w:lastRenderedPageBreak/>
        <w:t xml:space="preserve">sinkenden Ansteckungszahlen waren asiatische Unternehmen weniger stark von der Krise betroffen und konnten relativ schnell auf den Wachstumspfad zurückkehren. </w:t>
      </w:r>
    </w:p>
    <w:p w:rsidR="004E2E0D" w:rsidRPr="004E2E0D" w:rsidRDefault="004E2E0D" w:rsidP="002B50EA">
      <w:pPr>
        <w:pStyle w:val="KeinLeerraum"/>
        <w:jc w:val="both"/>
        <w:rPr>
          <w:rFonts w:eastAsiaTheme="minorEastAsia" w:cstheme="minorHAnsi"/>
          <w:sz w:val="24"/>
          <w:szCs w:val="24"/>
          <w:lang w:eastAsia="zh-CN"/>
        </w:rPr>
      </w:pPr>
    </w:p>
    <w:p w:rsidR="004E2E0D" w:rsidRDefault="004E2E0D" w:rsidP="002B50EA">
      <w:pPr>
        <w:pStyle w:val="KeinLeerraum"/>
        <w:jc w:val="both"/>
        <w:rPr>
          <w:rFonts w:eastAsiaTheme="minorEastAsia" w:cstheme="minorHAnsi"/>
          <w:sz w:val="24"/>
          <w:szCs w:val="24"/>
          <w:lang w:eastAsia="zh-CN"/>
        </w:rPr>
      </w:pPr>
      <w:r w:rsidRPr="004E2E0D">
        <w:rPr>
          <w:rFonts w:eastAsiaTheme="minorEastAsia" w:cstheme="minorHAnsi"/>
          <w:sz w:val="24"/>
          <w:szCs w:val="24"/>
          <w:lang w:eastAsia="zh-CN"/>
        </w:rPr>
        <w:t xml:space="preserve">Für China hat hier die robuste Binnennachfrage eine entscheidende Rolle gespielt und wird für den gesamten asiatischen Wirtschaftsraum mit jedem Jahr wichtiger.  Hinzu kommt das im November beschlossene </w:t>
      </w:r>
      <w:r w:rsidRPr="004E2E0D">
        <w:rPr>
          <w:rFonts w:eastAsiaTheme="minorEastAsia" w:cstheme="minorHAnsi"/>
          <w:color w:val="0070C0"/>
          <w:sz w:val="24"/>
          <w:szCs w:val="24"/>
          <w:lang w:eastAsia="zh-CN"/>
        </w:rPr>
        <w:t>Freihandelsabkommen „RCEP“</w:t>
      </w:r>
      <w:r w:rsidRPr="004E2E0D">
        <w:rPr>
          <w:rFonts w:eastAsiaTheme="minorEastAsia" w:cstheme="minorHAnsi"/>
          <w:sz w:val="24"/>
          <w:szCs w:val="24"/>
          <w:lang w:eastAsia="zh-CN"/>
        </w:rPr>
        <w:t xml:space="preserve">, in dem 15 Asien-Pazifik-Staaten zusammenkommen. Dieser größte Handelsblock </w:t>
      </w:r>
      <w:r w:rsidRPr="004E2E0D">
        <w:rPr>
          <w:rFonts w:eastAsiaTheme="minorEastAsia" w:cstheme="minorHAnsi"/>
          <w:color w:val="0070C0"/>
          <w:sz w:val="24"/>
          <w:szCs w:val="24"/>
          <w:lang w:eastAsia="zh-CN"/>
        </w:rPr>
        <w:t>umfasst nahezu ein Drittel der Weltbevölkerung und 30% des globalen Bruttoinlandsprodukts</w:t>
      </w:r>
      <w:r w:rsidRPr="004E2E0D">
        <w:rPr>
          <w:rFonts w:eastAsiaTheme="minorEastAsia" w:cstheme="minorHAnsi"/>
          <w:sz w:val="24"/>
          <w:szCs w:val="24"/>
          <w:lang w:eastAsia="zh-CN"/>
        </w:rPr>
        <w:t>. Der Deal beweist: Die Zukunft der internationalen Ordnung wird immer stärker in Asien entschieden.</w:t>
      </w:r>
    </w:p>
    <w:p w:rsidR="00E22F3C" w:rsidRDefault="00E22F3C" w:rsidP="004E2E0D">
      <w:pPr>
        <w:pStyle w:val="KeinLeerraum"/>
        <w:rPr>
          <w:rFonts w:eastAsiaTheme="minorEastAsia" w:cstheme="minorHAnsi"/>
          <w:sz w:val="24"/>
          <w:szCs w:val="24"/>
          <w:lang w:eastAsia="zh-CN"/>
        </w:rPr>
      </w:pPr>
    </w:p>
    <w:p w:rsidR="008D6E11" w:rsidRPr="00C12B8E" w:rsidRDefault="00E22F3C" w:rsidP="00E22F3C">
      <w:pPr>
        <w:pStyle w:val="KeinLeerraum"/>
        <w:rPr>
          <w:rStyle w:val="hgkelc"/>
          <w:b/>
          <w:bCs/>
          <w:sz w:val="24"/>
          <w:szCs w:val="24"/>
          <w:u w:val="single"/>
        </w:rPr>
      </w:pPr>
      <w:r w:rsidRPr="00C12B8E">
        <w:rPr>
          <w:rFonts w:eastAsiaTheme="minorEastAsia" w:cstheme="minorHAnsi"/>
          <w:b/>
          <w:sz w:val="24"/>
          <w:szCs w:val="24"/>
          <w:u w:val="single"/>
          <w:lang w:eastAsia="zh-CN"/>
        </w:rPr>
        <w:t xml:space="preserve">Kommt 2021 die </w:t>
      </w:r>
      <w:r w:rsidRPr="00C12B8E">
        <w:rPr>
          <w:rStyle w:val="hgkelc"/>
          <w:b/>
          <w:bCs/>
          <w:sz w:val="24"/>
          <w:szCs w:val="24"/>
          <w:u w:val="single"/>
        </w:rPr>
        <w:t xml:space="preserve">Renaissance der </w:t>
      </w:r>
      <w:proofErr w:type="spellStart"/>
      <w:r w:rsidRPr="00C12B8E">
        <w:rPr>
          <w:rStyle w:val="hgkelc"/>
          <w:b/>
          <w:bCs/>
          <w:sz w:val="24"/>
          <w:szCs w:val="24"/>
          <w:u w:val="single"/>
        </w:rPr>
        <w:t>Valueaktien</w:t>
      </w:r>
      <w:proofErr w:type="spellEnd"/>
      <w:r w:rsidRPr="00C12B8E">
        <w:rPr>
          <w:rStyle w:val="hgkelc"/>
          <w:b/>
          <w:bCs/>
          <w:sz w:val="24"/>
          <w:szCs w:val="24"/>
          <w:u w:val="single"/>
        </w:rPr>
        <w:t>?</w:t>
      </w:r>
    </w:p>
    <w:p w:rsidR="00E22F3C" w:rsidRDefault="00E22F3C" w:rsidP="00E22F3C">
      <w:pPr>
        <w:pStyle w:val="KeinLeerraum"/>
        <w:rPr>
          <w:rFonts w:cstheme="minorHAnsi"/>
          <w:color w:val="444444"/>
          <w:sz w:val="24"/>
          <w:szCs w:val="24"/>
        </w:rPr>
      </w:pPr>
    </w:p>
    <w:p w:rsidR="007931FA" w:rsidRDefault="007931FA" w:rsidP="00254E3E">
      <w:pPr>
        <w:pStyle w:val="KeinLeerraum"/>
        <w:jc w:val="both"/>
        <w:rPr>
          <w:rFonts w:cstheme="minorHAnsi"/>
          <w:color w:val="444444"/>
          <w:sz w:val="24"/>
          <w:szCs w:val="24"/>
        </w:rPr>
      </w:pPr>
    </w:p>
    <w:p w:rsidR="007931FA" w:rsidRDefault="00E22F3C" w:rsidP="00254E3E">
      <w:pPr>
        <w:pStyle w:val="KeinLeerraum"/>
        <w:jc w:val="both"/>
        <w:rPr>
          <w:rFonts w:cstheme="minorHAnsi"/>
          <w:color w:val="444444"/>
          <w:sz w:val="24"/>
          <w:szCs w:val="24"/>
        </w:rPr>
      </w:pPr>
      <w:r w:rsidRPr="00E22F3C">
        <w:rPr>
          <w:rFonts w:cstheme="minorHAnsi"/>
          <w:noProof/>
          <w:color w:val="444444"/>
          <w:sz w:val="24"/>
          <w:szCs w:val="24"/>
          <w:lang w:eastAsia="de-DE"/>
        </w:rPr>
        <w:drawing>
          <wp:inline distT="0" distB="0" distL="0" distR="0">
            <wp:extent cx="5760720" cy="3511185"/>
            <wp:effectExtent l="19050" t="0" r="0" b="0"/>
            <wp:docPr id="1" name="Bild 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5" cstate="print"/>
                    <a:srcRect/>
                    <a:stretch>
                      <a:fillRect/>
                    </a:stretch>
                  </pic:blipFill>
                  <pic:spPr bwMode="auto">
                    <a:xfrm>
                      <a:off x="0" y="0"/>
                      <a:ext cx="5760720" cy="3511185"/>
                    </a:xfrm>
                    <a:prstGeom prst="rect">
                      <a:avLst/>
                    </a:prstGeom>
                    <a:ln>
                      <a:headEnd/>
                      <a:tailEnd/>
                    </a:ln>
                  </pic:spPr>
                </pic:pic>
              </a:graphicData>
            </a:graphic>
          </wp:inline>
        </w:drawing>
      </w:r>
    </w:p>
    <w:p w:rsidR="007931FA" w:rsidRPr="001D1357" w:rsidRDefault="007931FA" w:rsidP="00254E3E">
      <w:pPr>
        <w:pStyle w:val="KeinLeerraum"/>
        <w:jc w:val="both"/>
        <w:rPr>
          <w:rFonts w:cstheme="minorHAnsi"/>
          <w:sz w:val="24"/>
          <w:szCs w:val="24"/>
        </w:rPr>
      </w:pPr>
    </w:p>
    <w:p w:rsidR="00E22F3C" w:rsidRPr="001D1357" w:rsidRDefault="00C265DC" w:rsidP="002B50EA">
      <w:pPr>
        <w:pStyle w:val="KeinLeerraum"/>
        <w:jc w:val="both"/>
        <w:rPr>
          <w:sz w:val="24"/>
          <w:szCs w:val="24"/>
        </w:rPr>
      </w:pPr>
      <w:r w:rsidRPr="001D1357">
        <w:rPr>
          <w:sz w:val="24"/>
          <w:szCs w:val="24"/>
        </w:rPr>
        <w:t xml:space="preserve">Seit 2007 verlieren </w:t>
      </w:r>
      <w:proofErr w:type="spellStart"/>
      <w:r w:rsidRPr="001D1357">
        <w:rPr>
          <w:sz w:val="24"/>
          <w:szCs w:val="24"/>
        </w:rPr>
        <w:t>Valuetitel</w:t>
      </w:r>
      <w:proofErr w:type="spellEnd"/>
      <w:r w:rsidRPr="001D1357">
        <w:rPr>
          <w:sz w:val="24"/>
          <w:szCs w:val="24"/>
        </w:rPr>
        <w:t xml:space="preserve"> gegenüber den Wachstumstiteln wie Apple, Amazon, Google &amp; Co. ständig an Wert. Nach Bekanntgabe durch </w:t>
      </w:r>
      <w:proofErr w:type="spellStart"/>
      <w:r w:rsidRPr="001D1357">
        <w:rPr>
          <w:sz w:val="24"/>
          <w:szCs w:val="24"/>
        </w:rPr>
        <w:t>Pfizer</w:t>
      </w:r>
      <w:proofErr w:type="spellEnd"/>
      <w:r w:rsidRPr="001D1357">
        <w:rPr>
          <w:sz w:val="24"/>
          <w:szCs w:val="24"/>
        </w:rPr>
        <w:t xml:space="preserve"> und </w:t>
      </w:r>
      <w:proofErr w:type="spellStart"/>
      <w:r w:rsidRPr="001D1357">
        <w:rPr>
          <w:sz w:val="24"/>
          <w:szCs w:val="24"/>
        </w:rPr>
        <w:t>BioNTech</w:t>
      </w:r>
      <w:proofErr w:type="spellEnd"/>
      <w:r w:rsidRPr="001D1357">
        <w:rPr>
          <w:sz w:val="24"/>
          <w:szCs w:val="24"/>
        </w:rPr>
        <w:t xml:space="preserve">  über die erfolgreiche Testung des weltweit ersten Corona-Impfstoffs änderte sich die Lage schlagartig. Nicht das</w:t>
      </w:r>
      <w:r w:rsidR="008D1903">
        <w:rPr>
          <w:sz w:val="24"/>
          <w:szCs w:val="24"/>
        </w:rPr>
        <w:t>s</w:t>
      </w:r>
      <w:r w:rsidRPr="001D1357">
        <w:rPr>
          <w:sz w:val="24"/>
          <w:szCs w:val="24"/>
        </w:rPr>
        <w:t xml:space="preserve"> wir uns falsch verstehen: Gute Wachstumstitel werden weiterhin auf dem Vormarsch bleiben, allerdings sind diese doppelt bis viermal so hoch bewertet als gute </w:t>
      </w:r>
      <w:proofErr w:type="spellStart"/>
      <w:r w:rsidRPr="001D1357">
        <w:rPr>
          <w:sz w:val="24"/>
          <w:szCs w:val="24"/>
        </w:rPr>
        <w:t>Valuewerte</w:t>
      </w:r>
      <w:proofErr w:type="spellEnd"/>
      <w:r w:rsidRPr="001D1357">
        <w:rPr>
          <w:sz w:val="24"/>
          <w:szCs w:val="24"/>
        </w:rPr>
        <w:t xml:space="preserve">. Deshalb ist eine Aufholjagd durchaus </w:t>
      </w:r>
      <w:r w:rsidR="00655573" w:rsidRPr="001D1357">
        <w:rPr>
          <w:sz w:val="24"/>
          <w:szCs w:val="24"/>
        </w:rPr>
        <w:t>m. E. wahrscheinlich.</w:t>
      </w:r>
    </w:p>
    <w:p w:rsidR="001D1357" w:rsidRPr="001D1357" w:rsidRDefault="001D1357" w:rsidP="002B50EA">
      <w:pPr>
        <w:pStyle w:val="KeinLeerraum"/>
        <w:jc w:val="both"/>
        <w:rPr>
          <w:sz w:val="24"/>
          <w:szCs w:val="24"/>
        </w:rPr>
      </w:pPr>
    </w:p>
    <w:p w:rsidR="001D1357" w:rsidRDefault="001D1357" w:rsidP="002B50EA">
      <w:pPr>
        <w:pStyle w:val="KeinLeerraum"/>
        <w:jc w:val="both"/>
        <w:rPr>
          <w:sz w:val="24"/>
          <w:szCs w:val="24"/>
        </w:rPr>
      </w:pPr>
      <w:r w:rsidRPr="001D1357">
        <w:rPr>
          <w:sz w:val="24"/>
          <w:szCs w:val="24"/>
        </w:rPr>
        <w:t xml:space="preserve">Als Beispiel sei hier der </w:t>
      </w:r>
      <w:proofErr w:type="spellStart"/>
      <w:r w:rsidRPr="008D1903">
        <w:rPr>
          <w:color w:val="0070C0"/>
          <w:sz w:val="24"/>
          <w:szCs w:val="24"/>
        </w:rPr>
        <w:t>Quantex</w:t>
      </w:r>
      <w:proofErr w:type="spellEnd"/>
      <w:r w:rsidRPr="008D1903">
        <w:rPr>
          <w:color w:val="0070C0"/>
          <w:sz w:val="24"/>
          <w:szCs w:val="24"/>
        </w:rPr>
        <w:t xml:space="preserve"> Value Fonds</w:t>
      </w:r>
      <w:r w:rsidRPr="001D1357">
        <w:rPr>
          <w:sz w:val="24"/>
          <w:szCs w:val="24"/>
        </w:rPr>
        <w:t xml:space="preserve"> genannt, der sich mittlerweile in nahezu allen Kundendepot</w:t>
      </w:r>
      <w:r w:rsidR="008D1903">
        <w:rPr>
          <w:sz w:val="24"/>
          <w:szCs w:val="24"/>
        </w:rPr>
        <w:t>s</w:t>
      </w:r>
      <w:r w:rsidRPr="001D1357">
        <w:rPr>
          <w:sz w:val="24"/>
          <w:szCs w:val="24"/>
        </w:rPr>
        <w:t xml:space="preserve"> befinden sollte: </w:t>
      </w:r>
      <w:r w:rsidRPr="008D1903">
        <w:rPr>
          <w:color w:val="0070C0"/>
          <w:sz w:val="24"/>
          <w:szCs w:val="24"/>
        </w:rPr>
        <w:t>+ 27 % im letzten Quartal</w:t>
      </w:r>
      <w:r w:rsidRPr="001D1357">
        <w:rPr>
          <w:sz w:val="24"/>
          <w:szCs w:val="24"/>
        </w:rPr>
        <w:t>!</w:t>
      </w:r>
    </w:p>
    <w:p w:rsidR="001D1357" w:rsidRDefault="001D1357" w:rsidP="00C265DC">
      <w:pPr>
        <w:pStyle w:val="KeinLeerraum"/>
        <w:rPr>
          <w:sz w:val="24"/>
          <w:szCs w:val="24"/>
        </w:rPr>
      </w:pPr>
    </w:p>
    <w:p w:rsidR="001D1357" w:rsidRDefault="001D1357" w:rsidP="00C265DC">
      <w:pPr>
        <w:pStyle w:val="KeinLeerraum"/>
        <w:rPr>
          <w:sz w:val="24"/>
          <w:szCs w:val="24"/>
        </w:rPr>
      </w:pPr>
      <w:r>
        <w:rPr>
          <w:sz w:val="24"/>
          <w:szCs w:val="24"/>
        </w:rPr>
        <w:t>Viele Grüße und ein gesundes neues Jahr</w:t>
      </w:r>
    </w:p>
    <w:p w:rsidR="001D1357" w:rsidRDefault="001D1357" w:rsidP="00C265DC">
      <w:pPr>
        <w:pStyle w:val="KeinLeerraum"/>
        <w:rPr>
          <w:sz w:val="24"/>
          <w:szCs w:val="24"/>
        </w:rPr>
      </w:pPr>
      <w:r>
        <w:rPr>
          <w:sz w:val="24"/>
          <w:szCs w:val="24"/>
        </w:rPr>
        <w:t xml:space="preserve">Ihr </w:t>
      </w:r>
    </w:p>
    <w:p w:rsidR="001D1357" w:rsidRDefault="001D1357" w:rsidP="00C265DC">
      <w:pPr>
        <w:pStyle w:val="KeinLeerraum"/>
        <w:rPr>
          <w:sz w:val="24"/>
          <w:szCs w:val="24"/>
        </w:rPr>
      </w:pPr>
      <w:r>
        <w:rPr>
          <w:sz w:val="24"/>
          <w:szCs w:val="24"/>
        </w:rPr>
        <w:t>Stefan Schönlein</w:t>
      </w:r>
    </w:p>
    <w:p w:rsidR="00236E59" w:rsidRPr="00802179" w:rsidRDefault="00236E59" w:rsidP="00254E3E">
      <w:pPr>
        <w:pStyle w:val="KeinLeerraum"/>
        <w:jc w:val="both"/>
        <w:rPr>
          <w:rFonts w:cstheme="minorHAnsi"/>
          <w:sz w:val="24"/>
          <w:szCs w:val="24"/>
        </w:rPr>
      </w:pPr>
    </w:p>
    <w:sectPr w:rsidR="00236E59" w:rsidRPr="00802179" w:rsidSect="00DB052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Roboto (TT) Light">
    <w:altName w:val="Robot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3613"/>
    <w:multiLevelType w:val="hybridMultilevel"/>
    <w:tmpl w:val="8BDCEFBC"/>
    <w:lvl w:ilvl="0" w:tplc="8DC05F6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2B08"/>
    <w:rsid w:val="00010493"/>
    <w:rsid w:val="00010823"/>
    <w:rsid w:val="00042F08"/>
    <w:rsid w:val="00047320"/>
    <w:rsid w:val="00067F79"/>
    <w:rsid w:val="00071879"/>
    <w:rsid w:val="00072942"/>
    <w:rsid w:val="000762FA"/>
    <w:rsid w:val="00084D1A"/>
    <w:rsid w:val="00095530"/>
    <w:rsid w:val="000C08E8"/>
    <w:rsid w:val="000C262A"/>
    <w:rsid w:val="000C774C"/>
    <w:rsid w:val="00110503"/>
    <w:rsid w:val="0011647A"/>
    <w:rsid w:val="00120D65"/>
    <w:rsid w:val="00122F48"/>
    <w:rsid w:val="00126C79"/>
    <w:rsid w:val="0015413A"/>
    <w:rsid w:val="00160CCF"/>
    <w:rsid w:val="00176AB5"/>
    <w:rsid w:val="00184379"/>
    <w:rsid w:val="001A586D"/>
    <w:rsid w:val="001A74D3"/>
    <w:rsid w:val="001B1E2E"/>
    <w:rsid w:val="001C2058"/>
    <w:rsid w:val="001D1357"/>
    <w:rsid w:val="001D6A17"/>
    <w:rsid w:val="001F1F15"/>
    <w:rsid w:val="002104F6"/>
    <w:rsid w:val="00216BEB"/>
    <w:rsid w:val="002320CB"/>
    <w:rsid w:val="0023222B"/>
    <w:rsid w:val="00236E59"/>
    <w:rsid w:val="00237D4A"/>
    <w:rsid w:val="002415E4"/>
    <w:rsid w:val="0024754E"/>
    <w:rsid w:val="00252EAA"/>
    <w:rsid w:val="002530A2"/>
    <w:rsid w:val="00254E3E"/>
    <w:rsid w:val="0028246D"/>
    <w:rsid w:val="00284469"/>
    <w:rsid w:val="00292B08"/>
    <w:rsid w:val="00294315"/>
    <w:rsid w:val="002A41D8"/>
    <w:rsid w:val="002B3927"/>
    <w:rsid w:val="002B50EA"/>
    <w:rsid w:val="002C159D"/>
    <w:rsid w:val="002C1BAB"/>
    <w:rsid w:val="002D19D3"/>
    <w:rsid w:val="002D5049"/>
    <w:rsid w:val="002D6DAB"/>
    <w:rsid w:val="00314F21"/>
    <w:rsid w:val="0033607F"/>
    <w:rsid w:val="00350FC1"/>
    <w:rsid w:val="00366A11"/>
    <w:rsid w:val="00374C6B"/>
    <w:rsid w:val="003C35B4"/>
    <w:rsid w:val="003D3B95"/>
    <w:rsid w:val="003D5830"/>
    <w:rsid w:val="00410DC1"/>
    <w:rsid w:val="004158FE"/>
    <w:rsid w:val="00417A14"/>
    <w:rsid w:val="004250A6"/>
    <w:rsid w:val="0043012A"/>
    <w:rsid w:val="004410A9"/>
    <w:rsid w:val="00457F74"/>
    <w:rsid w:val="004738D3"/>
    <w:rsid w:val="00490039"/>
    <w:rsid w:val="00495CA6"/>
    <w:rsid w:val="004A0136"/>
    <w:rsid w:val="004C0F2D"/>
    <w:rsid w:val="004C4ED3"/>
    <w:rsid w:val="004D147B"/>
    <w:rsid w:val="004E2E0D"/>
    <w:rsid w:val="005017E2"/>
    <w:rsid w:val="005058C8"/>
    <w:rsid w:val="00516AED"/>
    <w:rsid w:val="0052500B"/>
    <w:rsid w:val="005253AE"/>
    <w:rsid w:val="005336FD"/>
    <w:rsid w:val="0056437D"/>
    <w:rsid w:val="0057208A"/>
    <w:rsid w:val="005806B8"/>
    <w:rsid w:val="0059074B"/>
    <w:rsid w:val="005B372F"/>
    <w:rsid w:val="005C7662"/>
    <w:rsid w:val="005E4E85"/>
    <w:rsid w:val="005E7A13"/>
    <w:rsid w:val="00605DB1"/>
    <w:rsid w:val="00617BD7"/>
    <w:rsid w:val="00623F26"/>
    <w:rsid w:val="006258A0"/>
    <w:rsid w:val="00642A58"/>
    <w:rsid w:val="0065380E"/>
    <w:rsid w:val="0065438A"/>
    <w:rsid w:val="00655573"/>
    <w:rsid w:val="006A449C"/>
    <w:rsid w:val="006B246A"/>
    <w:rsid w:val="006E455F"/>
    <w:rsid w:val="006F58FD"/>
    <w:rsid w:val="00704412"/>
    <w:rsid w:val="00710364"/>
    <w:rsid w:val="00711337"/>
    <w:rsid w:val="00750EB4"/>
    <w:rsid w:val="00754928"/>
    <w:rsid w:val="00755EA2"/>
    <w:rsid w:val="0077356F"/>
    <w:rsid w:val="00780793"/>
    <w:rsid w:val="007842FB"/>
    <w:rsid w:val="007869C7"/>
    <w:rsid w:val="007931FA"/>
    <w:rsid w:val="007B05AF"/>
    <w:rsid w:val="007B64C9"/>
    <w:rsid w:val="007C1A9D"/>
    <w:rsid w:val="007C31EA"/>
    <w:rsid w:val="007F1092"/>
    <w:rsid w:val="00801CFC"/>
    <w:rsid w:val="00802179"/>
    <w:rsid w:val="008073D1"/>
    <w:rsid w:val="00833933"/>
    <w:rsid w:val="00842AA7"/>
    <w:rsid w:val="00847EE0"/>
    <w:rsid w:val="00853475"/>
    <w:rsid w:val="008602B5"/>
    <w:rsid w:val="00863CBC"/>
    <w:rsid w:val="008B242B"/>
    <w:rsid w:val="008B7849"/>
    <w:rsid w:val="008C7673"/>
    <w:rsid w:val="008D1903"/>
    <w:rsid w:val="008D6E11"/>
    <w:rsid w:val="00905CC9"/>
    <w:rsid w:val="00906112"/>
    <w:rsid w:val="009073FF"/>
    <w:rsid w:val="00910ACF"/>
    <w:rsid w:val="0092204A"/>
    <w:rsid w:val="00931C36"/>
    <w:rsid w:val="009347BB"/>
    <w:rsid w:val="00952A0E"/>
    <w:rsid w:val="00961581"/>
    <w:rsid w:val="00966023"/>
    <w:rsid w:val="009A00F8"/>
    <w:rsid w:val="009B3328"/>
    <w:rsid w:val="009D4FC6"/>
    <w:rsid w:val="009E7224"/>
    <w:rsid w:val="009E78E5"/>
    <w:rsid w:val="00A01175"/>
    <w:rsid w:val="00A20A00"/>
    <w:rsid w:val="00A27DCA"/>
    <w:rsid w:val="00A332E2"/>
    <w:rsid w:val="00A40516"/>
    <w:rsid w:val="00A46AD0"/>
    <w:rsid w:val="00A51D76"/>
    <w:rsid w:val="00A624D6"/>
    <w:rsid w:val="00A63673"/>
    <w:rsid w:val="00A8594E"/>
    <w:rsid w:val="00A97711"/>
    <w:rsid w:val="00AD097B"/>
    <w:rsid w:val="00AD2D4E"/>
    <w:rsid w:val="00AE342C"/>
    <w:rsid w:val="00AF5B8C"/>
    <w:rsid w:val="00B167F9"/>
    <w:rsid w:val="00B254EE"/>
    <w:rsid w:val="00B257C2"/>
    <w:rsid w:val="00B33D7C"/>
    <w:rsid w:val="00B71BC5"/>
    <w:rsid w:val="00B770D6"/>
    <w:rsid w:val="00B946A8"/>
    <w:rsid w:val="00B95B6B"/>
    <w:rsid w:val="00BA1069"/>
    <w:rsid w:val="00BA1444"/>
    <w:rsid w:val="00BA16BF"/>
    <w:rsid w:val="00BA1B06"/>
    <w:rsid w:val="00BB34E9"/>
    <w:rsid w:val="00BB4DC5"/>
    <w:rsid w:val="00BE2B94"/>
    <w:rsid w:val="00BE4C36"/>
    <w:rsid w:val="00BE5A35"/>
    <w:rsid w:val="00BF7D75"/>
    <w:rsid w:val="00C12B8E"/>
    <w:rsid w:val="00C2152D"/>
    <w:rsid w:val="00C22575"/>
    <w:rsid w:val="00C265DC"/>
    <w:rsid w:val="00C30267"/>
    <w:rsid w:val="00C33C78"/>
    <w:rsid w:val="00C37A72"/>
    <w:rsid w:val="00C41E02"/>
    <w:rsid w:val="00C475D0"/>
    <w:rsid w:val="00C54CE4"/>
    <w:rsid w:val="00C570E3"/>
    <w:rsid w:val="00C854DD"/>
    <w:rsid w:val="00C901BB"/>
    <w:rsid w:val="00C93AE5"/>
    <w:rsid w:val="00CA055C"/>
    <w:rsid w:val="00CB31BA"/>
    <w:rsid w:val="00CE184A"/>
    <w:rsid w:val="00CE6C99"/>
    <w:rsid w:val="00CF5800"/>
    <w:rsid w:val="00D4749B"/>
    <w:rsid w:val="00D52213"/>
    <w:rsid w:val="00D57C90"/>
    <w:rsid w:val="00D91D44"/>
    <w:rsid w:val="00DB0527"/>
    <w:rsid w:val="00DB128A"/>
    <w:rsid w:val="00DB6467"/>
    <w:rsid w:val="00DD47DE"/>
    <w:rsid w:val="00DF2A69"/>
    <w:rsid w:val="00E00C94"/>
    <w:rsid w:val="00E01F54"/>
    <w:rsid w:val="00E22F3C"/>
    <w:rsid w:val="00E263D6"/>
    <w:rsid w:val="00E34543"/>
    <w:rsid w:val="00E61176"/>
    <w:rsid w:val="00E809E1"/>
    <w:rsid w:val="00E92164"/>
    <w:rsid w:val="00EA1208"/>
    <w:rsid w:val="00EA6555"/>
    <w:rsid w:val="00EA68D2"/>
    <w:rsid w:val="00EB408C"/>
    <w:rsid w:val="00EE6015"/>
    <w:rsid w:val="00F0044B"/>
    <w:rsid w:val="00F07257"/>
    <w:rsid w:val="00F10D90"/>
    <w:rsid w:val="00F35A89"/>
    <w:rsid w:val="00F80384"/>
    <w:rsid w:val="00F83BDA"/>
    <w:rsid w:val="00F85424"/>
    <w:rsid w:val="00F91355"/>
    <w:rsid w:val="00F97A58"/>
    <w:rsid w:val="00FA2ADE"/>
    <w:rsid w:val="00FA37C1"/>
    <w:rsid w:val="00FE2FB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2B08"/>
  </w:style>
  <w:style w:type="paragraph" w:styleId="berschrift2">
    <w:name w:val="heading 2"/>
    <w:basedOn w:val="Standard"/>
    <w:link w:val="berschrift2Zchn"/>
    <w:uiPriority w:val="9"/>
    <w:qFormat/>
    <w:rsid w:val="00C265D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292B0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prechblasentext">
    <w:name w:val="Balloon Text"/>
    <w:basedOn w:val="Standard"/>
    <w:link w:val="SprechblasentextZchn"/>
    <w:uiPriority w:val="99"/>
    <w:semiHidden/>
    <w:unhideWhenUsed/>
    <w:rsid w:val="00292B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2B08"/>
    <w:rPr>
      <w:rFonts w:ascii="Tahoma" w:hAnsi="Tahoma" w:cs="Tahoma"/>
      <w:sz w:val="16"/>
      <w:szCs w:val="16"/>
    </w:rPr>
  </w:style>
  <w:style w:type="paragraph" w:styleId="StandardWeb">
    <w:name w:val="Normal (Web)"/>
    <w:basedOn w:val="Standard"/>
    <w:uiPriority w:val="99"/>
    <w:semiHidden/>
    <w:unhideWhenUsed/>
    <w:rsid w:val="006F58FD"/>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gitternetz">
    <w:name w:val="Table Grid"/>
    <w:basedOn w:val="NormaleTabelle"/>
    <w:uiPriority w:val="59"/>
    <w:rsid w:val="00BB3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710364"/>
    <w:pPr>
      <w:spacing w:after="0" w:line="240" w:lineRule="auto"/>
    </w:pPr>
  </w:style>
  <w:style w:type="character" w:customStyle="1" w:styleId="st">
    <w:name w:val="st"/>
    <w:basedOn w:val="Absatz-Standardschriftart"/>
    <w:rsid w:val="00A97711"/>
  </w:style>
  <w:style w:type="character" w:styleId="Hervorhebung">
    <w:name w:val="Emphasis"/>
    <w:basedOn w:val="Absatz-Standardschriftart"/>
    <w:uiPriority w:val="20"/>
    <w:qFormat/>
    <w:rsid w:val="00A97711"/>
    <w:rPr>
      <w:i/>
      <w:iCs/>
    </w:rPr>
  </w:style>
  <w:style w:type="character" w:styleId="Hyperlink">
    <w:name w:val="Hyperlink"/>
    <w:basedOn w:val="Absatz-Standardschriftart"/>
    <w:uiPriority w:val="99"/>
    <w:unhideWhenUsed/>
    <w:rsid w:val="00010823"/>
    <w:rPr>
      <w:color w:val="0000FF" w:themeColor="hyperlink"/>
      <w:u w:val="single"/>
    </w:rPr>
  </w:style>
  <w:style w:type="character" w:customStyle="1" w:styleId="e24kjd">
    <w:name w:val="e24kjd"/>
    <w:basedOn w:val="Absatz-Standardschriftart"/>
    <w:rsid w:val="00236E59"/>
  </w:style>
  <w:style w:type="paragraph" w:customStyle="1" w:styleId="EinfAbsKopie">
    <w:name w:val="Einf. Abs. Kopie"/>
    <w:basedOn w:val="Standard"/>
    <w:uiPriority w:val="99"/>
    <w:rsid w:val="00E92164"/>
    <w:pPr>
      <w:tabs>
        <w:tab w:val="left" w:pos="227"/>
      </w:tabs>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zh-CN"/>
    </w:rPr>
  </w:style>
  <w:style w:type="character" w:customStyle="1" w:styleId="CopyRoboto10pt-grau">
    <w:name w:val="Copy Roboto 10pt - grau"/>
    <w:uiPriority w:val="99"/>
    <w:rsid w:val="00E92164"/>
    <w:rPr>
      <w:rFonts w:ascii="Roboto (TT) Light" w:hAnsi="Roboto (TT) Light" w:cs="Roboto (TT) Light"/>
      <w:color w:val="6D6E70"/>
      <w:sz w:val="20"/>
      <w:szCs w:val="20"/>
    </w:rPr>
  </w:style>
  <w:style w:type="character" w:customStyle="1" w:styleId="hgkelc">
    <w:name w:val="hgkelc"/>
    <w:basedOn w:val="Absatz-Standardschriftart"/>
    <w:rsid w:val="00E22F3C"/>
  </w:style>
  <w:style w:type="character" w:customStyle="1" w:styleId="berschrift2Zchn">
    <w:name w:val="Überschrift 2 Zchn"/>
    <w:basedOn w:val="Absatz-Standardschriftart"/>
    <w:link w:val="berschrift2"/>
    <w:uiPriority w:val="9"/>
    <w:rsid w:val="00C265DC"/>
    <w:rPr>
      <w:rFonts w:ascii="Times New Roman" w:eastAsia="Times New Roman" w:hAnsi="Times New Roman" w:cs="Times New Roman"/>
      <w:b/>
      <w:bCs/>
      <w:sz w:val="36"/>
      <w:szCs w:val="3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2B08"/>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292B0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prechblasentext">
    <w:name w:val="Balloon Text"/>
    <w:basedOn w:val="Standard"/>
    <w:link w:val="SprechblasentextZchn"/>
    <w:uiPriority w:val="99"/>
    <w:semiHidden/>
    <w:unhideWhenUsed/>
    <w:rsid w:val="00292B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2B08"/>
    <w:rPr>
      <w:rFonts w:ascii="Tahoma" w:hAnsi="Tahoma" w:cs="Tahoma"/>
      <w:sz w:val="16"/>
      <w:szCs w:val="16"/>
    </w:rPr>
  </w:style>
  <w:style w:type="paragraph" w:styleId="StandardWeb">
    <w:name w:val="Normal (Web)"/>
    <w:basedOn w:val="Standard"/>
    <w:uiPriority w:val="99"/>
    <w:semiHidden/>
    <w:unhideWhenUsed/>
    <w:rsid w:val="006F58FD"/>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BB3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0275412">
      <w:bodyDiv w:val="1"/>
      <w:marLeft w:val="0"/>
      <w:marRight w:val="0"/>
      <w:marTop w:val="0"/>
      <w:marBottom w:val="0"/>
      <w:divBdr>
        <w:top w:val="none" w:sz="0" w:space="0" w:color="auto"/>
        <w:left w:val="none" w:sz="0" w:space="0" w:color="auto"/>
        <w:bottom w:val="none" w:sz="0" w:space="0" w:color="auto"/>
        <w:right w:val="none" w:sz="0" w:space="0" w:color="auto"/>
      </w:divBdr>
    </w:div>
    <w:div w:id="81146726">
      <w:bodyDiv w:val="1"/>
      <w:marLeft w:val="0"/>
      <w:marRight w:val="0"/>
      <w:marTop w:val="0"/>
      <w:marBottom w:val="0"/>
      <w:divBdr>
        <w:top w:val="none" w:sz="0" w:space="0" w:color="auto"/>
        <w:left w:val="none" w:sz="0" w:space="0" w:color="auto"/>
        <w:bottom w:val="none" w:sz="0" w:space="0" w:color="auto"/>
        <w:right w:val="none" w:sz="0" w:space="0" w:color="auto"/>
      </w:divBdr>
    </w:div>
    <w:div w:id="87772815">
      <w:bodyDiv w:val="1"/>
      <w:marLeft w:val="0"/>
      <w:marRight w:val="0"/>
      <w:marTop w:val="0"/>
      <w:marBottom w:val="0"/>
      <w:divBdr>
        <w:top w:val="none" w:sz="0" w:space="0" w:color="auto"/>
        <w:left w:val="none" w:sz="0" w:space="0" w:color="auto"/>
        <w:bottom w:val="none" w:sz="0" w:space="0" w:color="auto"/>
        <w:right w:val="none" w:sz="0" w:space="0" w:color="auto"/>
      </w:divBdr>
    </w:div>
    <w:div w:id="215897506">
      <w:bodyDiv w:val="1"/>
      <w:marLeft w:val="0"/>
      <w:marRight w:val="0"/>
      <w:marTop w:val="0"/>
      <w:marBottom w:val="0"/>
      <w:divBdr>
        <w:top w:val="none" w:sz="0" w:space="0" w:color="auto"/>
        <w:left w:val="none" w:sz="0" w:space="0" w:color="auto"/>
        <w:bottom w:val="none" w:sz="0" w:space="0" w:color="auto"/>
        <w:right w:val="none" w:sz="0" w:space="0" w:color="auto"/>
      </w:divBdr>
    </w:div>
    <w:div w:id="251090001">
      <w:bodyDiv w:val="1"/>
      <w:marLeft w:val="0"/>
      <w:marRight w:val="0"/>
      <w:marTop w:val="0"/>
      <w:marBottom w:val="0"/>
      <w:divBdr>
        <w:top w:val="none" w:sz="0" w:space="0" w:color="auto"/>
        <w:left w:val="none" w:sz="0" w:space="0" w:color="auto"/>
        <w:bottom w:val="none" w:sz="0" w:space="0" w:color="auto"/>
        <w:right w:val="none" w:sz="0" w:space="0" w:color="auto"/>
      </w:divBdr>
    </w:div>
    <w:div w:id="287400999">
      <w:bodyDiv w:val="1"/>
      <w:marLeft w:val="0"/>
      <w:marRight w:val="0"/>
      <w:marTop w:val="0"/>
      <w:marBottom w:val="0"/>
      <w:divBdr>
        <w:top w:val="none" w:sz="0" w:space="0" w:color="auto"/>
        <w:left w:val="none" w:sz="0" w:space="0" w:color="auto"/>
        <w:bottom w:val="none" w:sz="0" w:space="0" w:color="auto"/>
        <w:right w:val="none" w:sz="0" w:space="0" w:color="auto"/>
      </w:divBdr>
    </w:div>
    <w:div w:id="478038303">
      <w:bodyDiv w:val="1"/>
      <w:marLeft w:val="0"/>
      <w:marRight w:val="0"/>
      <w:marTop w:val="0"/>
      <w:marBottom w:val="0"/>
      <w:divBdr>
        <w:top w:val="none" w:sz="0" w:space="0" w:color="auto"/>
        <w:left w:val="none" w:sz="0" w:space="0" w:color="auto"/>
        <w:bottom w:val="none" w:sz="0" w:space="0" w:color="auto"/>
        <w:right w:val="none" w:sz="0" w:space="0" w:color="auto"/>
      </w:divBdr>
    </w:div>
    <w:div w:id="556671680">
      <w:bodyDiv w:val="1"/>
      <w:marLeft w:val="0"/>
      <w:marRight w:val="0"/>
      <w:marTop w:val="0"/>
      <w:marBottom w:val="0"/>
      <w:divBdr>
        <w:top w:val="none" w:sz="0" w:space="0" w:color="auto"/>
        <w:left w:val="none" w:sz="0" w:space="0" w:color="auto"/>
        <w:bottom w:val="none" w:sz="0" w:space="0" w:color="auto"/>
        <w:right w:val="none" w:sz="0" w:space="0" w:color="auto"/>
      </w:divBdr>
    </w:div>
    <w:div w:id="594168815">
      <w:bodyDiv w:val="1"/>
      <w:marLeft w:val="0"/>
      <w:marRight w:val="0"/>
      <w:marTop w:val="0"/>
      <w:marBottom w:val="0"/>
      <w:divBdr>
        <w:top w:val="none" w:sz="0" w:space="0" w:color="auto"/>
        <w:left w:val="none" w:sz="0" w:space="0" w:color="auto"/>
        <w:bottom w:val="none" w:sz="0" w:space="0" w:color="auto"/>
        <w:right w:val="none" w:sz="0" w:space="0" w:color="auto"/>
      </w:divBdr>
    </w:div>
    <w:div w:id="742409697">
      <w:bodyDiv w:val="1"/>
      <w:marLeft w:val="0"/>
      <w:marRight w:val="0"/>
      <w:marTop w:val="0"/>
      <w:marBottom w:val="0"/>
      <w:divBdr>
        <w:top w:val="none" w:sz="0" w:space="0" w:color="auto"/>
        <w:left w:val="none" w:sz="0" w:space="0" w:color="auto"/>
        <w:bottom w:val="none" w:sz="0" w:space="0" w:color="auto"/>
        <w:right w:val="none" w:sz="0" w:space="0" w:color="auto"/>
      </w:divBdr>
    </w:div>
    <w:div w:id="764693157">
      <w:bodyDiv w:val="1"/>
      <w:marLeft w:val="0"/>
      <w:marRight w:val="0"/>
      <w:marTop w:val="0"/>
      <w:marBottom w:val="0"/>
      <w:divBdr>
        <w:top w:val="none" w:sz="0" w:space="0" w:color="auto"/>
        <w:left w:val="none" w:sz="0" w:space="0" w:color="auto"/>
        <w:bottom w:val="none" w:sz="0" w:space="0" w:color="auto"/>
        <w:right w:val="none" w:sz="0" w:space="0" w:color="auto"/>
      </w:divBdr>
    </w:div>
    <w:div w:id="827139019">
      <w:bodyDiv w:val="1"/>
      <w:marLeft w:val="0"/>
      <w:marRight w:val="0"/>
      <w:marTop w:val="0"/>
      <w:marBottom w:val="0"/>
      <w:divBdr>
        <w:top w:val="none" w:sz="0" w:space="0" w:color="auto"/>
        <w:left w:val="none" w:sz="0" w:space="0" w:color="auto"/>
        <w:bottom w:val="none" w:sz="0" w:space="0" w:color="auto"/>
        <w:right w:val="none" w:sz="0" w:space="0" w:color="auto"/>
      </w:divBdr>
    </w:div>
    <w:div w:id="836044773">
      <w:bodyDiv w:val="1"/>
      <w:marLeft w:val="0"/>
      <w:marRight w:val="0"/>
      <w:marTop w:val="0"/>
      <w:marBottom w:val="0"/>
      <w:divBdr>
        <w:top w:val="none" w:sz="0" w:space="0" w:color="auto"/>
        <w:left w:val="none" w:sz="0" w:space="0" w:color="auto"/>
        <w:bottom w:val="none" w:sz="0" w:space="0" w:color="auto"/>
        <w:right w:val="none" w:sz="0" w:space="0" w:color="auto"/>
      </w:divBdr>
    </w:div>
    <w:div w:id="919676708">
      <w:bodyDiv w:val="1"/>
      <w:marLeft w:val="0"/>
      <w:marRight w:val="0"/>
      <w:marTop w:val="0"/>
      <w:marBottom w:val="0"/>
      <w:divBdr>
        <w:top w:val="none" w:sz="0" w:space="0" w:color="auto"/>
        <w:left w:val="none" w:sz="0" w:space="0" w:color="auto"/>
        <w:bottom w:val="none" w:sz="0" w:space="0" w:color="auto"/>
        <w:right w:val="none" w:sz="0" w:space="0" w:color="auto"/>
      </w:divBdr>
    </w:div>
    <w:div w:id="974406705">
      <w:bodyDiv w:val="1"/>
      <w:marLeft w:val="0"/>
      <w:marRight w:val="0"/>
      <w:marTop w:val="0"/>
      <w:marBottom w:val="0"/>
      <w:divBdr>
        <w:top w:val="none" w:sz="0" w:space="0" w:color="auto"/>
        <w:left w:val="none" w:sz="0" w:space="0" w:color="auto"/>
        <w:bottom w:val="none" w:sz="0" w:space="0" w:color="auto"/>
        <w:right w:val="none" w:sz="0" w:space="0" w:color="auto"/>
      </w:divBdr>
    </w:div>
    <w:div w:id="1098914831">
      <w:bodyDiv w:val="1"/>
      <w:marLeft w:val="0"/>
      <w:marRight w:val="0"/>
      <w:marTop w:val="0"/>
      <w:marBottom w:val="0"/>
      <w:divBdr>
        <w:top w:val="none" w:sz="0" w:space="0" w:color="auto"/>
        <w:left w:val="none" w:sz="0" w:space="0" w:color="auto"/>
        <w:bottom w:val="none" w:sz="0" w:space="0" w:color="auto"/>
        <w:right w:val="none" w:sz="0" w:space="0" w:color="auto"/>
      </w:divBdr>
    </w:div>
    <w:div w:id="1166440184">
      <w:bodyDiv w:val="1"/>
      <w:marLeft w:val="0"/>
      <w:marRight w:val="0"/>
      <w:marTop w:val="0"/>
      <w:marBottom w:val="0"/>
      <w:divBdr>
        <w:top w:val="none" w:sz="0" w:space="0" w:color="auto"/>
        <w:left w:val="none" w:sz="0" w:space="0" w:color="auto"/>
        <w:bottom w:val="none" w:sz="0" w:space="0" w:color="auto"/>
        <w:right w:val="none" w:sz="0" w:space="0" w:color="auto"/>
      </w:divBdr>
    </w:div>
    <w:div w:id="1226140049">
      <w:bodyDiv w:val="1"/>
      <w:marLeft w:val="0"/>
      <w:marRight w:val="0"/>
      <w:marTop w:val="0"/>
      <w:marBottom w:val="0"/>
      <w:divBdr>
        <w:top w:val="none" w:sz="0" w:space="0" w:color="auto"/>
        <w:left w:val="none" w:sz="0" w:space="0" w:color="auto"/>
        <w:bottom w:val="none" w:sz="0" w:space="0" w:color="auto"/>
        <w:right w:val="none" w:sz="0" w:space="0" w:color="auto"/>
      </w:divBdr>
    </w:div>
    <w:div w:id="1246109020">
      <w:bodyDiv w:val="1"/>
      <w:marLeft w:val="0"/>
      <w:marRight w:val="0"/>
      <w:marTop w:val="0"/>
      <w:marBottom w:val="0"/>
      <w:divBdr>
        <w:top w:val="none" w:sz="0" w:space="0" w:color="auto"/>
        <w:left w:val="none" w:sz="0" w:space="0" w:color="auto"/>
        <w:bottom w:val="none" w:sz="0" w:space="0" w:color="auto"/>
        <w:right w:val="none" w:sz="0" w:space="0" w:color="auto"/>
      </w:divBdr>
    </w:div>
    <w:div w:id="1302997920">
      <w:bodyDiv w:val="1"/>
      <w:marLeft w:val="0"/>
      <w:marRight w:val="0"/>
      <w:marTop w:val="0"/>
      <w:marBottom w:val="0"/>
      <w:divBdr>
        <w:top w:val="none" w:sz="0" w:space="0" w:color="auto"/>
        <w:left w:val="none" w:sz="0" w:space="0" w:color="auto"/>
        <w:bottom w:val="none" w:sz="0" w:space="0" w:color="auto"/>
        <w:right w:val="none" w:sz="0" w:space="0" w:color="auto"/>
      </w:divBdr>
    </w:div>
    <w:div w:id="1315796445">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363939700">
      <w:bodyDiv w:val="1"/>
      <w:marLeft w:val="0"/>
      <w:marRight w:val="0"/>
      <w:marTop w:val="0"/>
      <w:marBottom w:val="0"/>
      <w:divBdr>
        <w:top w:val="none" w:sz="0" w:space="0" w:color="auto"/>
        <w:left w:val="none" w:sz="0" w:space="0" w:color="auto"/>
        <w:bottom w:val="none" w:sz="0" w:space="0" w:color="auto"/>
        <w:right w:val="none" w:sz="0" w:space="0" w:color="auto"/>
      </w:divBdr>
    </w:div>
    <w:div w:id="1422678503">
      <w:bodyDiv w:val="1"/>
      <w:marLeft w:val="0"/>
      <w:marRight w:val="0"/>
      <w:marTop w:val="0"/>
      <w:marBottom w:val="0"/>
      <w:divBdr>
        <w:top w:val="none" w:sz="0" w:space="0" w:color="auto"/>
        <w:left w:val="none" w:sz="0" w:space="0" w:color="auto"/>
        <w:bottom w:val="none" w:sz="0" w:space="0" w:color="auto"/>
        <w:right w:val="none" w:sz="0" w:space="0" w:color="auto"/>
      </w:divBdr>
    </w:div>
    <w:div w:id="1429737975">
      <w:bodyDiv w:val="1"/>
      <w:marLeft w:val="0"/>
      <w:marRight w:val="0"/>
      <w:marTop w:val="0"/>
      <w:marBottom w:val="0"/>
      <w:divBdr>
        <w:top w:val="none" w:sz="0" w:space="0" w:color="auto"/>
        <w:left w:val="none" w:sz="0" w:space="0" w:color="auto"/>
        <w:bottom w:val="none" w:sz="0" w:space="0" w:color="auto"/>
        <w:right w:val="none" w:sz="0" w:space="0" w:color="auto"/>
      </w:divBdr>
    </w:div>
    <w:div w:id="1615284348">
      <w:bodyDiv w:val="1"/>
      <w:marLeft w:val="0"/>
      <w:marRight w:val="0"/>
      <w:marTop w:val="0"/>
      <w:marBottom w:val="0"/>
      <w:divBdr>
        <w:top w:val="none" w:sz="0" w:space="0" w:color="auto"/>
        <w:left w:val="none" w:sz="0" w:space="0" w:color="auto"/>
        <w:bottom w:val="none" w:sz="0" w:space="0" w:color="auto"/>
        <w:right w:val="none" w:sz="0" w:space="0" w:color="auto"/>
      </w:divBdr>
    </w:div>
    <w:div w:id="1792555227">
      <w:bodyDiv w:val="1"/>
      <w:marLeft w:val="0"/>
      <w:marRight w:val="0"/>
      <w:marTop w:val="0"/>
      <w:marBottom w:val="0"/>
      <w:divBdr>
        <w:top w:val="none" w:sz="0" w:space="0" w:color="auto"/>
        <w:left w:val="none" w:sz="0" w:space="0" w:color="auto"/>
        <w:bottom w:val="none" w:sz="0" w:space="0" w:color="auto"/>
        <w:right w:val="none" w:sz="0" w:space="0" w:color="auto"/>
      </w:divBdr>
    </w:div>
    <w:div w:id="1807694421">
      <w:bodyDiv w:val="1"/>
      <w:marLeft w:val="0"/>
      <w:marRight w:val="0"/>
      <w:marTop w:val="0"/>
      <w:marBottom w:val="0"/>
      <w:divBdr>
        <w:top w:val="none" w:sz="0" w:space="0" w:color="auto"/>
        <w:left w:val="none" w:sz="0" w:space="0" w:color="auto"/>
        <w:bottom w:val="none" w:sz="0" w:space="0" w:color="auto"/>
        <w:right w:val="none" w:sz="0" w:space="0" w:color="auto"/>
      </w:divBdr>
    </w:div>
    <w:div w:id="1918855847">
      <w:bodyDiv w:val="1"/>
      <w:marLeft w:val="0"/>
      <w:marRight w:val="0"/>
      <w:marTop w:val="0"/>
      <w:marBottom w:val="0"/>
      <w:divBdr>
        <w:top w:val="none" w:sz="0" w:space="0" w:color="auto"/>
        <w:left w:val="none" w:sz="0" w:space="0" w:color="auto"/>
        <w:bottom w:val="none" w:sz="0" w:space="0" w:color="auto"/>
        <w:right w:val="none" w:sz="0" w:space="0" w:color="auto"/>
      </w:divBdr>
    </w:div>
    <w:div w:id="2020347404">
      <w:bodyDiv w:val="1"/>
      <w:marLeft w:val="0"/>
      <w:marRight w:val="0"/>
      <w:marTop w:val="0"/>
      <w:marBottom w:val="0"/>
      <w:divBdr>
        <w:top w:val="none" w:sz="0" w:space="0" w:color="auto"/>
        <w:left w:val="none" w:sz="0" w:space="0" w:color="auto"/>
        <w:bottom w:val="none" w:sz="0" w:space="0" w:color="auto"/>
        <w:right w:val="none" w:sz="0" w:space="0" w:color="auto"/>
      </w:divBdr>
    </w:div>
    <w:div w:id="212803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Perovic</dc:creator>
  <cp:lastModifiedBy>Stefan Schönlein</cp:lastModifiedBy>
  <cp:revision>14</cp:revision>
  <cp:lastPrinted>2021-01-06T13:06:00Z</cp:lastPrinted>
  <dcterms:created xsi:type="dcterms:W3CDTF">2021-01-04T10:34:00Z</dcterms:created>
  <dcterms:modified xsi:type="dcterms:W3CDTF">2021-01-06T13:07:00Z</dcterms:modified>
</cp:coreProperties>
</file>